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47D8D31" w14:textId="77777777" w:rsidTr="00A45E83">
        <w:tc>
          <w:tcPr>
            <w:tcW w:w="8978" w:type="dxa"/>
          </w:tcPr>
          <w:p w14:paraId="7D600442" w14:textId="77777777" w:rsidR="00D27CAF" w:rsidRDefault="00C373F4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14:paraId="6790575A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1" w:name="_Hlk128128054"/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7740FCF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2A8F3232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52857244" w14:textId="290342B9" w:rsidR="00A45E83" w:rsidRPr="007D77B1" w:rsidRDefault="00C373F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</w:t>
            </w:r>
            <w:r w:rsidR="0008283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14:paraId="3F9E7F9F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8A64CA2" w14:textId="77777777" w:rsidTr="00A45E83">
        <w:tc>
          <w:tcPr>
            <w:tcW w:w="8978" w:type="dxa"/>
          </w:tcPr>
          <w:p w14:paraId="3E92C30A" w14:textId="77777777"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  <w:t xml:space="preserve">Cuentas de Orden Contables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En el periodo presentado la entidad no registro operaciones financieras que implicaran el registro de Cuentas de Orden Contables.  2. Cuentas de Orden Presupuestales En atención a las disposiciones establecidas en la Ley General de Contabilidad Gubernamental y al Marco Normativo establecido por el Consejo Nacional de Armonización Contable, el Estado de Situación Financiera del Gobierno del Estado presenta el Saldo del periodo de las Cuentas Presupuestales del Ingreso y del Egreso, las cuales se enlistan en el siguiente:</w:t>
            </w:r>
          </w:p>
          <w:p w14:paraId="1F512D07" w14:textId="77777777"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8392995" w14:textId="77777777" w:rsidR="00C373F4" w:rsidRDefault="00C373F4" w:rsidP="00C3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0FD02CE8" wp14:editId="40576A17">
                  <wp:extent cx="5612130" cy="1487805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CE9E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6DD82" w14:textId="77777777" w:rsidR="00A45E83" w:rsidRDefault="00A45E83">
      <w:pPr>
        <w:rPr>
          <w:rFonts w:ascii="Arial" w:hAnsi="Arial" w:cs="Arial"/>
        </w:rPr>
      </w:pPr>
    </w:p>
    <w:p w14:paraId="4F6C7BA4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82830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373F4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E7B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319F-8472-4CA3-8BEE-C896D2DC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Hacie Ixtlah</cp:lastModifiedBy>
  <cp:revision>2</cp:revision>
  <dcterms:created xsi:type="dcterms:W3CDTF">2023-02-24T16:48:00Z</dcterms:created>
  <dcterms:modified xsi:type="dcterms:W3CDTF">2023-02-24T16:48:00Z</dcterms:modified>
</cp:coreProperties>
</file>